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6"/>
          <w:szCs w:val="26"/>
        </w:rPr>
      </w:pPr>
      <w:r>
        <w:rPr>
          <w:rFonts w:cs="Arial" w:ascii="Verdana" w:hAnsi="Verdana"/>
          <w:b/>
          <w:bCs/>
          <w:smallCaps/>
          <w:color w:val="000000"/>
          <w:sz w:val="26"/>
          <w:szCs w:val="26"/>
        </w:rPr>
        <w:t xml:space="preserve">EDITAL </w:t>
      </w:r>
    </w:p>
    <w:p>
      <w:pPr>
        <w:pStyle w:val="Normal"/>
        <w:spacing w:lineRule="auto" w:line="276"/>
        <w:jc w:val="center"/>
        <w:rPr>
          <w:sz w:val="26"/>
          <w:szCs w:val="26"/>
        </w:rPr>
      </w:pPr>
      <w:r>
        <w:rPr>
          <w:rFonts w:cs="Arial" w:ascii="Verdana" w:hAnsi="Verdana"/>
          <w:b/>
          <w:bCs/>
          <w:smallCaps/>
          <w:color w:val="000000"/>
          <w:sz w:val="26"/>
          <w:szCs w:val="26"/>
        </w:rPr>
        <w:t>PREGÃO ELETRÔNICO Nº 005/2025</w:t>
      </w:r>
    </w:p>
    <w:p>
      <w:pPr>
        <w:pStyle w:val="Normal"/>
        <w:spacing w:lineRule="auto" w:line="276"/>
        <w:jc w:val="center"/>
        <w:rPr>
          <w:sz w:val="26"/>
          <w:szCs w:val="26"/>
        </w:rPr>
      </w:pPr>
      <w:r>
        <w:rPr>
          <w:rFonts w:cs="Arial" w:ascii="Verdana" w:hAnsi="Verdana"/>
          <w:b/>
          <w:bCs/>
          <w:smallCaps/>
          <w:color w:val="000000"/>
          <w:sz w:val="26"/>
          <w:szCs w:val="26"/>
        </w:rPr>
        <w:t>(Processo Administrativo n° 605/2025 de 27/01/2025)</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08</w:t>
      </w:r>
      <w:r>
        <w:rPr>
          <w:rFonts w:cs="Arial" w:ascii="Verdana" w:hAnsi="Verdana"/>
          <w:b/>
          <w:bCs/>
          <w:color w:val="000000"/>
          <w:sz w:val="20"/>
          <w:szCs w:val="20"/>
        </w:rPr>
        <w:t>/0</w:t>
      </w:r>
      <w:r>
        <w:rPr>
          <w:rFonts w:cs="Arial" w:ascii="Verdana" w:hAnsi="Verdana"/>
          <w:b/>
          <w:bCs/>
          <w:color w:val="000000"/>
          <w:sz w:val="20"/>
          <w:szCs w:val="20"/>
        </w:rPr>
        <w:t>4</w:t>
      </w:r>
      <w:r>
        <w:rPr>
          <w:rFonts w:cs="Arial" w:ascii="Verdana" w:hAnsi="Verdana"/>
          <w:b/>
          <w:bCs/>
          <w:color w:val="000000"/>
          <w:sz w:val="20"/>
          <w:szCs w:val="20"/>
        </w:rPr>
        <w:t>/2025.</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10</w:t>
      </w:r>
      <w:r>
        <w:rPr>
          <w:rFonts w:cs="Arial" w:ascii="Verdana" w:hAnsi="Verdana"/>
          <w:b/>
          <w:bCs/>
          <w:color w:val="000000"/>
          <w:sz w:val="20"/>
          <w:szCs w:val="20"/>
        </w:rPr>
        <w:t>h</w:t>
      </w:r>
      <w:r>
        <w:rPr>
          <w:rFonts w:cs="Arial" w:ascii="Verdana" w:hAnsi="Verdana"/>
          <w:b/>
          <w:bCs/>
          <w:color w:val="000000"/>
          <w:sz w:val="20"/>
          <w:szCs w:val="20"/>
        </w:rPr>
        <w:t>3</w:t>
      </w:r>
      <w:r>
        <w:rPr>
          <w:rFonts w:cs="Arial" w:ascii="Verdana" w:hAnsi="Verdana"/>
          <w:b/>
          <w:bCs/>
          <w:color w:val="000000"/>
          <w:sz w:val="20"/>
          <w:szCs w:val="20"/>
        </w:rPr>
        <w:t>0min.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w:t>
      </w:r>
      <w:bookmarkEnd w:id="1"/>
      <w:r>
        <w:rPr>
          <w:rFonts w:eastAsia="Batang;바탕" w:cs="Arial" w:ascii="Verdana" w:hAnsi="Verdana"/>
          <w:iCs/>
          <w:sz w:val="20"/>
          <w:szCs w:val="20"/>
        </w:rPr>
        <w:t xml:space="preserve">aquisição de </w:t>
      </w:r>
      <w:r>
        <w:rPr>
          <w:rFonts w:eastAsia="Times New Roman" w:cs="Times New Roman" w:ascii="Verdana" w:hAnsi="Verdana"/>
          <w:iCs/>
          <w:sz w:val="20"/>
          <w:szCs w:val="20"/>
        </w:rPr>
        <w:t>doces</w:t>
      </w:r>
      <w:r>
        <w:rPr>
          <w:rFonts w:eastAsia="Batang;바탕" w:cs="Arial" w:ascii="Verdana" w:hAnsi="Verdana"/>
          <w:iCs/>
          <w:sz w:val="20"/>
          <w:szCs w:val="20"/>
        </w:rPr>
        <w:t xml:space="preserve"> </w:t>
      </w:r>
      <w:r>
        <w:rPr>
          <w:rFonts w:eastAsia="Times New Roman" w:cs="Times New Roman" w:ascii="Verdana" w:hAnsi="Verdana"/>
          <w:iCs/>
          <w:sz w:val="20"/>
          <w:szCs w:val="20"/>
        </w:rPr>
        <w:t xml:space="preserve">em </w:t>
      </w:r>
      <w:r>
        <w:rPr>
          <w:rFonts w:eastAsia="Batang;바탕" w:cs="Arial" w:ascii="Verdana" w:hAnsi="Verdana"/>
          <w:iCs/>
          <w:sz w:val="20"/>
          <w:szCs w:val="20"/>
        </w:rPr>
        <w:t>atendimento aos diversos eventos promovidos pela Secretaria Municipal de Assistência Social e seus equipamentos socioassistenciais para um período de 12 (doze) meses</w:t>
      </w:r>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sz w:val="20"/>
          <w:szCs w:val="20"/>
        </w:rPr>
      </w:pPr>
      <w:r>
        <w:rPr>
          <w:rFonts w:eastAsia="Batang;바탕" w:cs="Arial" w:ascii="Verdana" w:hAnsi="Verdana"/>
          <w:b/>
          <w:bCs/>
          <w:sz w:val="20"/>
          <w:szCs w:val="20"/>
        </w:rPr>
        <w:t xml:space="preserve">a) </w:t>
      </w:r>
      <w:r>
        <w:rPr>
          <w:rFonts w:eastAsia="Batang;바탕" w:cs="Arial" w:ascii="Verdana" w:hAnsi="Verdana"/>
          <w:sz w:val="20"/>
          <w:szCs w:val="20"/>
        </w:rPr>
        <w:t>A licitação correspondente aos itens 01 a 15 ocorrerá com exclusividade para microempresas ou empresas de pequeno porte.</w:t>
      </w:r>
    </w:p>
    <w:p>
      <w:pPr>
        <w:pStyle w:val="Normal"/>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113" w:after="113"/>
        <w:ind w:hanging="0" w:left="57" w:right="57"/>
        <w:rPr/>
      </w:pPr>
      <w:r>
        <w:rPr>
          <w:rFonts w:cs="Arial" w:ascii="Verdana" w:hAnsi="Verdana"/>
        </w:rPr>
        <w:t xml:space="preserve">DO REGISTRO DE PREÇOS </w:t>
      </w:r>
    </w:p>
    <w:p>
      <w:pPr>
        <w:pStyle w:val="Normal"/>
        <w:spacing w:lineRule="auto" w:line="276" w:before="113" w:after="113"/>
        <w:ind w:hanging="0" w:left="57" w:right="57"/>
        <w:jc w:val="both"/>
        <w:rPr>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113" w:after="113"/>
        <w:ind w:hanging="0" w:left="57" w:right="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76" w:before="57" w:after="57"/>
        <w:rPr>
          <w:rFonts w:ascii="Verdana" w:hAnsi="Verdana"/>
        </w:rPr>
      </w:pPr>
      <w:r>
        <w:rPr>
          <w:rFonts w:ascii="Verdana" w:hAnsi="Verdana"/>
        </w:rPr>
      </w:r>
    </w:p>
    <w:p>
      <w:pPr>
        <w:pStyle w:val="Nivel01"/>
        <w:numPr>
          <w:ilvl w:val="0"/>
          <w:numId w:val="2"/>
        </w:numPr>
        <w:spacing w:lineRule="auto" w:line="276" w:before="57" w:after="57"/>
        <w:ind w:hanging="0" w:left="0"/>
        <w:rPr>
          <w:rFonts w:ascii="Verdana" w:hAnsi="Verdana"/>
        </w:rPr>
      </w:pPr>
      <w:r>
        <w:rPr>
          <w:rFonts w:cs="Arial" w:ascii="Verdana" w:hAnsi="Verdana"/>
        </w:rPr>
        <w:t>DO CREDENCIAMENTO</w:t>
      </w:r>
    </w:p>
    <w:p>
      <w:pPr>
        <w:pStyle w:val="Default"/>
        <w:spacing w:lineRule="auto" w:line="276" w:before="113" w:after="113"/>
        <w:ind w:hanging="0"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113" w:after="113"/>
        <w:ind w:hanging="0"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113" w:after="113"/>
        <w:ind w:hanging="0"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113" w:after="113"/>
        <w:ind w:hanging="0"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113" w:after="113"/>
        <w:ind w:hanging="0"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113" w:after="113"/>
        <w:ind w:hanging="0"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113" w:after="113"/>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PARTICIPAÇÃO NO PREGÃO.</w:t>
      </w:r>
    </w:p>
    <w:p>
      <w:pPr>
        <w:pStyle w:val="Normal"/>
        <w:spacing w:lineRule="auto" w:line="276" w:before="57" w:after="57"/>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rFonts w:ascii="Verdana" w:hAnsi="Verdana" w:cs="Arial"/>
          <w:bCs/>
          <w:iCs/>
          <w:color w:val="000000"/>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Fonts w:ascii="Verdana" w:hAnsi="Verdana" w:cs="Arial"/>
          <w:bCs/>
          <w:iCs/>
          <w:color w:val="000000"/>
          <w:sz w:val="20"/>
          <w:szCs w:val="20"/>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ind w:hanging="0" w:left="0"/>
        <w:rPr>
          <w:rFonts w:ascii="Verdana" w:hAnsi="Verdana" w:eastAsia="Segoe UI" w:cs="Arial"/>
          <w:bCs/>
          <w:color w:val="00000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ind w:hanging="0" w:left="0"/>
        <w:rPr>
          <w:rFonts w:ascii="Verdana" w:hAnsi="Verdana" w:eastAsia="Segoe UI" w:cs="Arial"/>
          <w:bCs/>
          <w:color w:val="00000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ind w:hanging="0" w:left="0"/>
        <w:rPr>
          <w:rFonts w:ascii="Verdana" w:hAnsi="Verdana" w:eastAsia="Segoe UI" w:cs="Arial"/>
          <w:bCs/>
          <w:color w:val="00000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cs="Arial"/>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113" w:after="113"/>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113" w:after="113"/>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113" w:after="113"/>
        <w:ind w:hanging="0"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hanging="0" w:left="0" w:right="113"/>
        <w:contextualSpacing/>
        <w:jc w:val="both"/>
        <w:rPr>
          <w:rFonts w:ascii="Verdana" w:hAnsi="Verdana" w:cs="Arial"/>
          <w:color w:val="000000"/>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rFonts w:ascii="Verdana" w:hAnsi="Verdana" w:cs="Arial"/>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cs="Arial"/>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u w:val="single"/>
          <w:rStyle w:val="ListLabel292"/>
          <w:sz w:val="20"/>
          <w:szCs w:val="20"/>
          <w:rFonts w:cs="Arial" w:ascii="Verdana" w:hAnsi="Verdana"/>
          <w:color w:val="000080"/>
        </w:rPr>
        <w:instrText xml:space="preserve"> HYPERLINK "http://www.planalto.gov.br/ccivil_03/_ato2019-2022/2021/lei/L14133.htm" \l "art14"</w:instrText>
      </w:r>
      <w:r>
        <w:rPr>
          <w:u w:val="single"/>
          <w:rStyle w:val="ListLabel292"/>
          <w:sz w:val="20"/>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u w:val="single"/>
          <w:rStyle w:val="ListLabel292"/>
          <w:sz w:val="20"/>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u w:val="single"/>
          <w:rStyle w:val="ListLabel292"/>
          <w:sz w:val="20"/>
          <w:szCs w:val="20"/>
          <w:rFonts w:cs="Arial" w:ascii="Verdana" w:hAnsi="Verdana"/>
          <w:color w:val="000080"/>
        </w:rPr>
        <w:instrText xml:space="preserve"> HYPERLINK "https://www.gov.br/compras/pt-br/acesso-a-informacao/legislacao/instrucoes-normativas/instrucao-normativa-seges-me-no-73-de-30-de-setembro-de-2022" \l "art29"</w:instrText>
      </w:r>
      <w:r>
        <w:rPr>
          <w:u w:val="single"/>
          <w:rStyle w:val="ListLabel292"/>
          <w:sz w:val="20"/>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u w:val="single"/>
          <w:rStyle w:val="ListLabel292"/>
          <w:sz w:val="20"/>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jc w:val="both"/>
        <w:rPr>
          <w:rFonts w:ascii="Verdana" w:hAnsi="Verdana" w:cs="Arial"/>
          <w:color w:val="000000"/>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jc w:val="both"/>
        <w:rPr>
          <w:rFonts w:ascii="Verdana" w:hAnsi="Verdana" w:cs="Arial"/>
          <w:color w:val="000000"/>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jc w:val="both"/>
        <w:rPr>
          <w:rFonts w:ascii="Verdana" w:hAnsi="Verdana"/>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rFonts w:ascii="Verdana" w:hAnsi="Verdana"/>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rFonts w:ascii="Verdana" w:hAnsi="Verdana"/>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113" w:after="113"/>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113" w:after="113"/>
        <w:ind w:hanging="0" w:left="57" w:right="57"/>
        <w:rPr/>
      </w:pPr>
      <w:r>
        <w:rPr>
          <w:rFonts w:cs="Arial" w:ascii="Verdana" w:hAnsi="Verdana"/>
          <w:color w:val="auto"/>
        </w:rPr>
        <w:t xml:space="preserve">DA GARANTIA DE EXECUÇÃO </w:t>
      </w:r>
    </w:p>
    <w:p>
      <w:pPr>
        <w:pStyle w:val="ListParagraph"/>
        <w:numPr>
          <w:ilvl w:val="1"/>
          <w:numId w:val="2"/>
        </w:numPr>
        <w:spacing w:lineRule="auto" w:line="276" w:before="113" w:after="113"/>
        <w:ind w:hanging="0" w:left="57" w:right="57"/>
        <w:contextualSpacing w:val="false"/>
        <w:jc w:val="both"/>
        <w:rPr>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113" w:after="113"/>
        <w:ind w:hanging="0"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hanging="0" w:left="0"/>
        <w:contextualSpacing w:val="false"/>
        <w:jc w:val="both"/>
        <w:rPr>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113" w:after="113"/>
        <w:ind w:hanging="0" w:left="57" w:right="57"/>
        <w:contextualSpacing w:val="false"/>
        <w:jc w:val="both"/>
        <w:rPr>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hanging="0" w:left="0"/>
        <w:rPr>
          <w:rFonts w:ascii="Verdana" w:hAnsi="Verdana" w:eastAsia="Segoe UI" w:cs="Arial"/>
          <w:bCs/>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17. DA ACEITAÇÃO DO OBJETO E DA FISCALIZAÇÃO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18. DAS OBRIGAÇÕES DA CONTRATANTE E DA CONTRATADA</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20. DAS SANÇÕES ADMINISTRATIVAS.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before="57" w:after="57"/>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before="57" w:after="57"/>
        <w:jc w:val="both"/>
        <w:rPr>
          <w:rFonts w:ascii="Verdana" w:hAnsi="Verdana"/>
          <w:sz w:val="20"/>
          <w:szCs w:val="20"/>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before="57" w:after="57"/>
        <w:jc w:val="both"/>
        <w:rPr>
          <w:rFonts w:ascii="Verdana" w:hAnsi="Verdana"/>
          <w:sz w:val="20"/>
          <w:szCs w:val="20"/>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6"/>
          <w:sz w:val="20"/>
          <w:u w:val="none"/>
          <w:szCs w:val="20"/>
          <w:rFonts w:ascii="Verdana" w:hAnsi="Verdana"/>
          <w:color w:val="000000"/>
        </w:rPr>
        <w:instrText xml:space="preserve"> HYPERLINK "https://www.planalto.gov.br/ccivil_03/_ato2011-2014/2013/lei/l12846.htm" \l "art5"</w:instrText>
      </w:r>
      <w:r>
        <w:rPr>
          <w:rStyle w:val="ListLabel296"/>
          <w:sz w:val="20"/>
          <w:u w:val="none"/>
          <w:szCs w:val="20"/>
          <w:rFonts w:ascii="Verdana" w:hAnsi="Verdana"/>
          <w:color w:val="000000"/>
        </w:rPr>
        <w:fldChar w:fldCharType="separate"/>
      </w:r>
      <w:r>
        <w:rPr>
          <w:rStyle w:val="ListLabel296"/>
          <w:rFonts w:ascii="Verdana" w:hAnsi="Verdana"/>
          <w:color w:val="000000"/>
          <w:sz w:val="20"/>
          <w:szCs w:val="20"/>
          <w:u w:val="none"/>
        </w:rPr>
        <w:t>art. 5º da Lei n.º 12.846, de 2013</w:t>
      </w:r>
      <w:r>
        <w:rPr>
          <w:rStyle w:val="ListLabel296"/>
          <w:sz w:val="20"/>
          <w:u w:val="none"/>
          <w:szCs w:val="20"/>
          <w:rFonts w:ascii="Verdana" w:hAnsi="Verdana"/>
          <w:color w:val="000000"/>
        </w:rPr>
        <w:fldChar w:fldCharType="end"/>
      </w:r>
      <w:r>
        <w:rPr>
          <w:rFonts w:ascii="Verdana" w:hAnsi="Verdana"/>
          <w:sz w:val="20"/>
          <w:szCs w:val="20"/>
        </w:rPr>
        <w:t>.</w:t>
      </w:r>
      <w:bookmarkEnd w:id="18"/>
    </w:p>
    <w:p>
      <w:pPr>
        <w:pStyle w:val="Nivel2"/>
        <w:numPr>
          <w:ilvl w:val="0"/>
          <w:numId w:val="0"/>
        </w:numPr>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ind w:hanging="0" w:left="0"/>
        <w:rPr/>
      </w:pPr>
      <w:r>
        <w:rPr>
          <w:rFonts w:ascii="Verdana" w:hAnsi="Verdana"/>
        </w:rPr>
        <w:t>20.2.1 advertência;</w:t>
      </w:r>
    </w:p>
    <w:p>
      <w:pPr>
        <w:pStyle w:val="Nivel2"/>
        <w:numPr>
          <w:ilvl w:val="0"/>
          <w:numId w:val="0"/>
        </w:numPr>
        <w:ind w:hanging="0" w:left="0"/>
        <w:rPr/>
      </w:pPr>
      <w:r>
        <w:rPr>
          <w:rFonts w:ascii="Verdana" w:hAnsi="Verdana"/>
        </w:rPr>
        <w:t>20.2.2 multa;</w:t>
      </w:r>
    </w:p>
    <w:p>
      <w:pPr>
        <w:pStyle w:val="Nivel2"/>
        <w:numPr>
          <w:ilvl w:val="0"/>
          <w:numId w:val="0"/>
        </w:numPr>
        <w:ind w:hanging="0" w:left="0"/>
        <w:rPr/>
      </w:pPr>
      <w:r>
        <w:rPr>
          <w:rFonts w:ascii="Verdana" w:hAnsi="Verdana"/>
        </w:rPr>
        <w:t>20.2.3 impedimento de licitar e contratar e</w:t>
      </w:r>
    </w:p>
    <w:p>
      <w:pPr>
        <w:pStyle w:val="Nivel2"/>
        <w:numPr>
          <w:ilvl w:val="0"/>
          <w:numId w:val="0"/>
        </w:numPr>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ind w:hanging="0" w:left="0"/>
        <w:rPr>
          <w:rFonts w:ascii="Verdana" w:hAnsi="Verdana"/>
        </w:rPr>
      </w:pPr>
      <w:r>
        <w:rPr>
          <w:rFonts w:ascii="Verdana" w:hAnsi="Verdana"/>
        </w:rPr>
        <w:t>20.3 Na aplicação das sanções serão considerados:</w:t>
      </w:r>
    </w:p>
    <w:p>
      <w:pPr>
        <w:pStyle w:val="Nivel2"/>
        <w:numPr>
          <w:ilvl w:val="0"/>
          <w:numId w:val="0"/>
        </w:numPr>
        <w:ind w:hanging="0" w:left="0"/>
        <w:rPr>
          <w:rFonts w:ascii="Verdana" w:hAnsi="Verdana"/>
        </w:rPr>
      </w:pPr>
      <w:r>
        <w:rPr>
          <w:rFonts w:ascii="Verdana" w:hAnsi="Verdana"/>
        </w:rPr>
        <w:t>20.3.1 a natureza e a gravidade da infração cometida.</w:t>
      </w:r>
    </w:p>
    <w:p>
      <w:pPr>
        <w:pStyle w:val="Nivel2"/>
        <w:numPr>
          <w:ilvl w:val="0"/>
          <w:numId w:val="0"/>
        </w:numPr>
        <w:ind w:hanging="0" w:left="0"/>
        <w:rPr>
          <w:rFonts w:ascii="Verdana" w:hAnsi="Verdana"/>
        </w:rPr>
      </w:pPr>
      <w:r>
        <w:rPr>
          <w:rFonts w:ascii="Verdana" w:hAnsi="Verdana"/>
        </w:rPr>
        <w:t>20.3.2 as peculiaridades do caso concreto</w:t>
      </w:r>
    </w:p>
    <w:p>
      <w:pPr>
        <w:pStyle w:val="Nivel2"/>
        <w:numPr>
          <w:ilvl w:val="0"/>
          <w:numId w:val="0"/>
        </w:numPr>
        <w:ind w:hanging="0" w:left="0"/>
        <w:rPr>
          <w:rFonts w:ascii="Verdana" w:hAnsi="Verdana"/>
        </w:rPr>
      </w:pPr>
      <w:r>
        <w:rPr>
          <w:rFonts w:ascii="Verdana" w:hAnsi="Verdana"/>
        </w:rPr>
        <w:t>20.3.3 as circunstâncias agravantes ou atenuantes</w:t>
      </w:r>
    </w:p>
    <w:p>
      <w:pPr>
        <w:pStyle w:val="Nivel2"/>
        <w:numPr>
          <w:ilvl w:val="0"/>
          <w:numId w:val="0"/>
        </w:numPr>
        <w:ind w:hanging="0" w:left="0"/>
        <w:rPr>
          <w:rFonts w:ascii="Verdana" w:hAnsi="Verdana"/>
        </w:rPr>
      </w:pPr>
      <w:r>
        <w:rPr>
          <w:rFonts w:ascii="Verdana" w:hAnsi="Verdana"/>
        </w:rPr>
        <w:t>20.3.4 os danos que dela provierem para a Administração Pública</w:t>
      </w:r>
    </w:p>
    <w:p>
      <w:pPr>
        <w:pStyle w:val="Nivel2"/>
        <w:numPr>
          <w:ilvl w:val="0"/>
          <w:numId w:val="0"/>
        </w:numPr>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ind w:hanging="0" w:left="0"/>
        <w:rPr>
          <w:rFonts w:ascii="Verdana" w:hAnsi="Verdana"/>
        </w:rPr>
      </w:pPr>
      <w:r>
        <w:rPr>
          <w:rFonts w:ascii="Verdana" w:hAnsi="Verdana"/>
        </w:rPr>
        <w:t xml:space="preserve">20.4.1 </w:t>
      </w:r>
      <w:bookmarkStart w:id="19" w:name="_Hlk113876035_Copia_1"/>
      <w:bookmarkStart w:id="20" w:name="_Hlk113876035"/>
      <w:r>
        <w:rPr>
          <w:rFonts w:ascii="Verdana" w:hAnsi="Verdana"/>
        </w:rPr>
        <w:t>Para as infrações previstas nos itens 20.1.1, 20.1.2 e 20.1.3, a multa será de 5% do valor do contrato licitado.</w:t>
      </w:r>
      <w:bookmarkEnd w:id="19"/>
      <w:bookmarkEnd w:id="20"/>
    </w:p>
    <w:p>
      <w:pPr>
        <w:pStyle w:val="Nivel2"/>
        <w:numPr>
          <w:ilvl w:val="0"/>
          <w:numId w:val="0"/>
        </w:numPr>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u w:val="none"/>
          <w:rFonts w:ascii="Verdana" w:hAnsi="Verdana"/>
          <w:color w:val="000000"/>
        </w:rPr>
        <w:instrText xml:space="preserve"> HYPERLINK "http://www.planalto.gov.br/ccivil_03/_ato2019-2022/2021/lei/L14133.htm" \l "art156%C2%A75"</w:instrText>
      </w:r>
      <w:r>
        <w:rPr>
          <w:rStyle w:val="ListLabel297"/>
          <w:u w:val="none"/>
          <w:rFonts w:ascii="Verdana" w:hAnsi="Verdana"/>
          <w:color w:val="000000"/>
        </w:rPr>
        <w:fldChar w:fldCharType="separate"/>
      </w:r>
      <w:r>
        <w:rPr>
          <w:rStyle w:val="ListLabel297"/>
          <w:rFonts w:ascii="Verdana" w:hAnsi="Verdana"/>
          <w:color w:val="000000"/>
          <w:u w:val="none"/>
        </w:rPr>
        <w:t>art. 156, §5º, da Lei n.º 14.133/2021</w:t>
      </w:r>
      <w:r>
        <w:rPr>
          <w:rStyle w:val="ListLabel297"/>
          <w:u w:val="none"/>
          <w:rFonts w:ascii="Verdana" w:hAnsi="Verdana"/>
          <w:color w:val="000000"/>
        </w:rPr>
        <w:fldChar w:fldCharType="end"/>
      </w:r>
      <w:r>
        <w:rPr>
          <w:rFonts w:ascii="Verdana" w:hAnsi="Verdana"/>
        </w:rPr>
        <w:t>.</w:t>
      </w:r>
    </w:p>
    <w:p>
      <w:pPr>
        <w:pStyle w:val="Nivel2"/>
        <w:numPr>
          <w:ilvl w:val="0"/>
          <w:numId w:val="0"/>
        </w:numPr>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u w:val="none"/>
          </w:rPr>
          <w:t>art. 45, §4º da IN SEGES/ME n.º 73, de 2022</w:t>
        </w:r>
      </w:hyperlink>
      <w:r>
        <w:rPr>
          <w:rFonts w:ascii="Verdana" w:hAnsi="Verdana"/>
        </w:rPr>
        <w:t xml:space="preserve">. </w:t>
      </w:r>
    </w:p>
    <w:p>
      <w:pPr>
        <w:pStyle w:val="Nivel2"/>
        <w:numPr>
          <w:ilvl w:val="0"/>
          <w:numId w:val="0"/>
        </w:numPr>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rFonts w:ascii="Verdana" w:hAnsi="Verdana"/>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22. DAS DISPOSIÇÕES GERAIS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1" w:name="_Hlk123138684_Copia_3"/>
      <w:r>
        <w:rPr>
          <w:rFonts w:cs="Arial" w:ascii="Verdana" w:hAnsi="Verdana"/>
          <w:color w:val="000000"/>
          <w:sz w:val="20"/>
          <w:szCs w:val="20"/>
          <w:u w:val="single"/>
        </w:rPr>
        <w:t>www.portaldecompraspublicas.com.br</w:t>
      </w:r>
      <w:bookmarkEnd w:id="21"/>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22.12.1 ANEXO I – Modelo Orientativo de Proposta;</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22.12.2 ANEXO II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25 de fevereiro de 2025.</w:t>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3265</TotalTime>
  <Application>LibreOffice/24.2.6.2$Windows_X86_64 LibreOffice_project/ef66aa7e36a1bb8e65bfbc63aba53045a14d0871</Application>
  <AppVersion>15.0000</AppVersion>
  <Pages>17</Pages>
  <Words>8285</Words>
  <Characters>46932</Characters>
  <CharactersWithSpaces>54832</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2024-05-07T13:59:00Z</cp:lastPrinted>
  <dcterms:modified xsi:type="dcterms:W3CDTF">2025-03-26T13:47:10Z</dcterms:modified>
  <cp:revision>165</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